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附：</w:t>
      </w:r>
    </w:p>
    <w:p>
      <w:pPr>
        <w:pStyle w:val="2"/>
        <w:jc w:val="center"/>
        <w:rPr>
          <w:rFonts w:hint="eastAsia"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吉林省社会科学研究“十三五”规划学科分类</w:t>
      </w:r>
    </w:p>
    <w:p>
      <w:pPr>
        <w:jc w:val="center"/>
        <w:rPr>
          <w:rFonts w:hint="eastAsia" w:ascii="新宋体" w:hAnsi="新宋体" w:eastAsia="新宋体"/>
          <w:bCs/>
          <w:sz w:val="24"/>
        </w:rPr>
      </w:pPr>
      <w:r>
        <w:rPr>
          <w:rFonts w:hint="eastAsia" w:ascii="新宋体" w:hAnsi="新宋体" w:eastAsia="新宋体"/>
          <w:bCs/>
          <w:sz w:val="24"/>
        </w:rPr>
        <w:t>（暂定学科领域）</w:t>
      </w:r>
    </w:p>
    <w:p>
      <w:pPr>
        <w:jc w:val="center"/>
        <w:rPr>
          <w:rFonts w:hint="eastAsia" w:ascii="新宋体" w:hAnsi="新宋体" w:eastAsia="新宋体"/>
          <w:sz w:val="24"/>
        </w:rPr>
      </w:pPr>
      <w:r>
        <w:rPr>
          <w:rFonts w:ascii="新宋体" w:hAnsi="新宋体" w:eastAsia="新宋体"/>
          <w:sz w:val="24"/>
        </w:rPr>
        <w:t>-------------------------------------------------------------------------</w:t>
      </w:r>
    </w:p>
    <w:p>
      <w:pPr>
        <w:rPr>
          <w:rFonts w:ascii="新宋体" w:hAnsi="新宋体" w:eastAsia="新宋体"/>
          <w:sz w:val="24"/>
        </w:rPr>
      </w:pPr>
    </w:p>
    <w:tbl>
      <w:tblPr>
        <w:tblStyle w:val="7"/>
        <w:tblW w:w="8856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6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序</w:t>
            </w:r>
            <w:r>
              <w:rPr>
                <w:rFonts w:ascii="新宋体" w:hAnsi="新宋体" w:eastAsia="新宋体"/>
                <w:bCs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bCs/>
                <w:sz w:val="24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学科名称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1800" w:firstLineChars="750"/>
              <w:rPr>
                <w:rFonts w:ascii="新宋体" w:hAnsi="新宋体" w:eastAsia="新宋体"/>
                <w:bCs/>
                <w:sz w:val="24"/>
              </w:rPr>
            </w:pPr>
          </w:p>
          <w:p>
            <w:pPr>
              <w:spacing w:line="360" w:lineRule="auto"/>
              <w:ind w:firstLine="1800" w:firstLineChars="750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内含相关学科及领域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ascii="新宋体" w:hAnsi="新宋体" w:eastAsia="新宋体"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政治学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中共党史党建、马克思主义理论、科学社会主义、思想政治教育、国际关系学、外交学等。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ascii="新宋体" w:hAnsi="新宋体" w:eastAsia="新宋体"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哲学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逻辑学、伦理学、美学、宗教学、科学技术哲学等。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ascii="新宋体" w:hAnsi="新宋体" w:eastAsia="新宋体"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经济学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begin"/>
            </w:r>
            <w:r>
              <w:rPr>
                <w:rFonts w:ascii="新宋体" w:hAnsi="新宋体" w:eastAsia="新宋体" w:cs="宋体"/>
                <w:kern w:val="0"/>
                <w:sz w:val="24"/>
              </w:rPr>
              <w:instrText xml:space="preserve"> HYPERLINK "http://lib.utsz.edu.cn/viewChannel.jsp?channel=1085" </w:instrTex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新宋体" w:hAnsi="新宋体" w:eastAsia="新宋体" w:cs="宋体"/>
                <w:color w:val="auto"/>
                <w:kern w:val="0"/>
                <w:sz w:val="24"/>
                <w:u w:val="none"/>
              </w:rPr>
              <w:t>经济史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end"/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、</w:t>
            </w:r>
            <w:r>
              <w:rPr>
                <w:rFonts w:hint="eastAsia" w:ascii="新宋体" w:hAnsi="新宋体" w:eastAsia="新宋体"/>
                <w:spacing w:val="8"/>
                <w:sz w:val="24"/>
              </w:rPr>
              <w:t>经济学说史、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begin"/>
            </w:r>
            <w:r>
              <w:rPr>
                <w:rFonts w:ascii="新宋体" w:hAnsi="新宋体" w:eastAsia="新宋体" w:cs="宋体"/>
                <w:kern w:val="0"/>
                <w:sz w:val="24"/>
              </w:rPr>
              <w:instrText xml:space="preserve"> HYPERLINK "http://lib.utsz.edu.cn/viewChannel.jsp?channel=1086" </w:instrTex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新宋体" w:hAnsi="新宋体" w:eastAsia="新宋体" w:cs="宋体"/>
                <w:color w:val="auto"/>
                <w:kern w:val="0"/>
                <w:sz w:val="24"/>
                <w:u w:val="none"/>
              </w:rPr>
              <w:t>经济思想史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end"/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、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begin"/>
            </w:r>
            <w:r>
              <w:rPr>
                <w:rFonts w:ascii="新宋体" w:hAnsi="新宋体" w:eastAsia="新宋体" w:cs="宋体"/>
                <w:kern w:val="0"/>
                <w:sz w:val="24"/>
              </w:rPr>
              <w:instrText xml:space="preserve"> HYPERLINK "http://lib.utsz.edu.cn/viewChannel.jsp?channel=1089" </w:instrTex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新宋体" w:hAnsi="新宋体" w:eastAsia="新宋体" w:cs="宋体"/>
                <w:color w:val="auto"/>
                <w:kern w:val="0"/>
                <w:sz w:val="24"/>
                <w:u w:val="none"/>
              </w:rPr>
              <w:t>政治经济学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end"/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、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begin"/>
            </w:r>
            <w:r>
              <w:rPr>
                <w:rFonts w:ascii="新宋体" w:hAnsi="新宋体" w:eastAsia="新宋体" w:cs="宋体"/>
                <w:kern w:val="0"/>
                <w:sz w:val="24"/>
              </w:rPr>
              <w:instrText xml:space="preserve"> HYPERLINK "http://lib.utsz.edu.cn/viewChannel.jsp?channel=1088" </w:instrTex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新宋体" w:hAnsi="新宋体" w:eastAsia="新宋体" w:cs="宋体"/>
                <w:color w:val="auto"/>
                <w:kern w:val="0"/>
                <w:sz w:val="24"/>
                <w:u w:val="none"/>
              </w:rPr>
              <w:t>西方经济学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end"/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、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begin"/>
            </w:r>
            <w:r>
              <w:rPr>
                <w:rFonts w:ascii="新宋体" w:hAnsi="新宋体" w:eastAsia="新宋体" w:cs="宋体"/>
                <w:kern w:val="0"/>
                <w:sz w:val="24"/>
              </w:rPr>
              <w:instrText xml:space="preserve"> HYPERLINK "http://lib.utsz.edu.cn/viewChannel.jsp?channel=1087" </w:instrTex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新宋体" w:hAnsi="新宋体" w:eastAsia="新宋体" w:cs="宋体"/>
                <w:color w:val="auto"/>
                <w:kern w:val="0"/>
                <w:sz w:val="24"/>
                <w:u w:val="none"/>
              </w:rPr>
              <w:t>世界经济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fldChar w:fldCharType="end"/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学、</w:t>
            </w:r>
            <w:r>
              <w:rPr>
                <w:rFonts w:hint="eastAsia" w:ascii="新宋体" w:hAnsi="新宋体" w:eastAsia="新宋体"/>
                <w:spacing w:val="8"/>
                <w:sz w:val="24"/>
              </w:rPr>
              <w:t>宏微观经济学等。国民经济、行业经济、区域经济、国际经济贸易等。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管理学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工商管理学、公共管理学、行政管理学、图书馆学、情报学、档案学</w:t>
            </w:r>
            <w:r>
              <w:rPr>
                <w:rFonts w:hint="eastAsia" w:ascii="新宋体" w:hAnsi="新宋体" w:eastAsia="新宋体"/>
                <w:spacing w:val="8"/>
                <w:sz w:val="24"/>
              </w:rPr>
              <w:t>、企业经营管理</w:t>
            </w:r>
            <w:r>
              <w:rPr>
                <w:rFonts w:hint="eastAsia" w:ascii="新宋体" w:hAnsi="新宋体" w:eastAsia="新宋体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法学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行政法学、刑法学、经济法学、国际法学、军事法学等。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社会学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社会保障学、人口学、人类学、民俗学、民族学等。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教育学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教育史、教学论、德育原理、人才学、心理学等。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体育学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 w:cs="Arial"/>
                <w:sz w:val="24"/>
              </w:rPr>
              <w:t>体育史学、体育经济学、体育产业学、体育法学、体育心理学、体育人才学、体育社会学、体育美学等。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汉语文学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民间文学、新闻传播学、艺术学、电影学、舞蹈学、文学文化等。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1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历史学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考古学、博物馆学、世界史学、历史文化等。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外国语言学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英语、法语、俄语、日语、德语、外国文学等。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1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东北亚问题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高句丽渤海问题、俄罗斯问题、朝鲜问题、日本问题、韩国问题等。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1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长吉图问题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长吉图发展战略，与长吉图开发开放相关领域的问题。</w:t>
            </w:r>
          </w:p>
        </w:tc>
      </w:tr>
    </w:tbl>
    <w:p>
      <w:pPr>
        <w:rPr>
          <w:rFonts w:hint="eastAsia" w:ascii="新宋体" w:hAnsi="新宋体" w:eastAsia="新宋体"/>
          <w:sz w:val="28"/>
          <w:szCs w:val="28"/>
        </w:rPr>
      </w:pPr>
    </w:p>
    <w:p/>
    <w:sectPr>
      <w:footerReference r:id="rId3" w:type="default"/>
      <w:footerReference r:id="rId4" w:type="even"/>
      <w:pgSz w:w="11907" w:h="16840"/>
      <w:pgMar w:top="1089" w:right="1134" w:bottom="1871" w:left="1134" w:header="1077" w:footer="1191" w:gutter="0"/>
      <w:cols w:space="425" w:num="1"/>
      <w:docGrid w:type="lines" w:linePitch="312" w:charSpace="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70D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2016-12-23T05:06:03Z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